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附件2 </w:t>
      </w:r>
      <w:r>
        <w:rPr>
          <w:rFonts w:hint="eastAsia" w:ascii="仿宋" w:hAnsi="仿宋" w:eastAsia="仿宋" w:cs="仿宋"/>
          <w:sz w:val="32"/>
          <w:szCs w:val="32"/>
          <w:lang w:val="en-US" w:eastAsia="zh-CN"/>
        </w:rPr>
        <w:t xml:space="preserve">          </w:t>
      </w:r>
    </w:p>
    <w:p>
      <w:pPr>
        <w:ind w:firstLine="1600" w:firstLineChars="500"/>
        <w:rPr>
          <w:rFonts w:hint="eastAsia" w:ascii="宋体" w:hAnsi="宋体" w:eastAsia="宋体" w:cs="宋体"/>
          <w:sz w:val="44"/>
          <w:szCs w:val="44"/>
          <w:lang w:val="en-US" w:eastAsia="zh-CN"/>
        </w:rPr>
      </w:pPr>
      <w:r>
        <w:rPr>
          <w:rFonts w:hint="eastAsia" w:ascii="仿宋" w:hAnsi="仿宋" w:eastAsia="仿宋" w:cs="仿宋"/>
          <w:sz w:val="32"/>
          <w:szCs w:val="32"/>
          <w:lang w:val="en-US" w:eastAsia="zh-CN"/>
        </w:rPr>
        <w:t xml:space="preserve">       </w:t>
      </w:r>
      <w:r>
        <w:rPr>
          <w:rFonts w:hint="eastAsia" w:ascii="宋体" w:hAnsi="宋体" w:eastAsia="宋体" w:cs="宋体"/>
          <w:sz w:val="44"/>
          <w:szCs w:val="44"/>
          <w:lang w:val="en-US" w:eastAsia="zh-CN"/>
        </w:rPr>
        <w:t>国医大师学术思想传承科研课题公示名单</w:t>
      </w:r>
    </w:p>
    <w:p>
      <w:pPr>
        <w:ind w:firstLine="2200" w:firstLineChars="500"/>
        <w:rPr>
          <w:rFonts w:hint="eastAsia" w:ascii="宋体" w:hAnsi="宋体" w:eastAsia="宋体" w:cs="宋体"/>
          <w:sz w:val="44"/>
          <w:szCs w:val="44"/>
          <w:lang w:val="en-US" w:eastAsia="zh-CN"/>
        </w:rPr>
      </w:pPr>
    </w:p>
    <w:tbl>
      <w:tblPr>
        <w:tblStyle w:val="2"/>
        <w:tblW w:w="13965" w:type="dxa"/>
        <w:tblInd w:w="0" w:type="dxa"/>
        <w:shd w:val="clear" w:color="auto" w:fill="auto"/>
        <w:tblLayout w:type="fixed"/>
        <w:tblCellMar>
          <w:top w:w="0" w:type="dxa"/>
          <w:left w:w="0" w:type="dxa"/>
          <w:bottom w:w="0" w:type="dxa"/>
          <w:right w:w="0" w:type="dxa"/>
        </w:tblCellMar>
      </w:tblPr>
      <w:tblGrid>
        <w:gridCol w:w="825"/>
        <w:gridCol w:w="7440"/>
        <w:gridCol w:w="3825"/>
        <w:gridCol w:w="1875"/>
      </w:tblGrid>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课题名称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b/>
                <w:i w:val="0"/>
                <w:color w:val="000000"/>
                <w:sz w:val="26"/>
                <w:szCs w:val="26"/>
                <w:u w:val="none"/>
              </w:rPr>
            </w:pPr>
            <w:r>
              <w:rPr>
                <w:rFonts w:hint="default" w:ascii="Calibri" w:hAnsi="Calibri" w:eastAsia="宋体" w:cs="Calibri"/>
                <w:b/>
                <w:i w:val="0"/>
                <w:color w:val="000000"/>
                <w:kern w:val="0"/>
                <w:sz w:val="26"/>
                <w:szCs w:val="26"/>
                <w:u w:val="none"/>
                <w:lang w:val="en-US" w:eastAsia="zh-CN" w:bidi="ar"/>
              </w:rPr>
              <w:t>项目承担单位</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6"/>
                <w:szCs w:val="26"/>
                <w:u w:val="none"/>
              </w:rPr>
            </w:pPr>
            <w:r>
              <w:rPr>
                <w:rFonts w:hint="eastAsia" w:ascii="宋体" w:hAnsi="宋体" w:eastAsia="宋体" w:cs="宋体"/>
                <w:b/>
                <w:i w:val="0"/>
                <w:color w:val="000000"/>
                <w:kern w:val="0"/>
                <w:sz w:val="26"/>
                <w:szCs w:val="26"/>
                <w:u w:val="none"/>
                <w:lang w:val="en-US" w:eastAsia="zh-CN" w:bidi="ar"/>
              </w:rPr>
              <w:t>负责人</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基于国医大师段富津教授临证经验之三七龙血竭配伍治疗高脂血症药效学及机制研究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高彦宇</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国医大师段富津论治痹证的“气血枢纽”理论及相关病证方剂配伍研究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梁华</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国医大师段富津教授治疗泄泻学术思想及临证经验研究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毕珺辉</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国医大师段富津教授治疗结聚型病症的学术思想和临床经验总结</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殷越</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基于智慧中医技术传承国医大师段富津教授治疗恶性肿瘤的学术经验研究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刘松江</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基于国医大师孙申田教授“神安病减”理论探讨电子捻针法对癫痫抑郁共病大鼠海马保护机制的研究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刘征</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国医大师张琪应用清心莲子饮治疗糖皮质激素性骨质疏松症的机制研究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黑龙江中医药大学附属第一医院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王海</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国医大师孙申田循经远取动法结合头针治疗椎间盘源性坐骨神经痛的临床研究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孙远征</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基于孙申田教授学术思想探讨“透刺吞咽针法”对缺血性脑卒中后吞咽障碍相关参数影响的临床研究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李晓宁</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基于“孙申田教授调神针法”结合跑轮训练干预产后焦虑大鼠探讨母鼠焦虑状态对仔鼠认知能力的影响</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王艳</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基于fMRI的国医大师孙申田经颅重复针刺法改善上肢功能障碍效应机制研究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尹洪娜</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基于国医大师段富津教授补虚化瘀理论的解毒益心汤抑制蒽环类药物 心脏毒性的机制研究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陈会君</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基于段富津国医大师“治癖必疏肝”思想探究十味柴胡疏肝散对乳腺增生雌激素受体通路调节机制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黄克江</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国医大师孙申田“经颅针刺刺激疗法”改善脑小血管病认知功能障碍的临床研究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王玉琳</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基于数据挖掘的孙申田教授经颅重复针刺手法临床应用经验研究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师帅</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基于国医大师段富津教授的“补而散之”之法应用消疹固本煎治疗银屑病血虚风燥证的临床研究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刘拥军</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基于国医大师孙申田思想的“交叉电项针”治疗卒中相关性肺炎呼吸机依赖患者的临床疗效观察 </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蔡国锋</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基于国医大师卢芳伏邪理论祛湿法治疗下肢深静脉血栓形成的基础研究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郭伟光</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国医大师孙申田教授经颅重复针刺法改善缺血性脑卒中模型大鼠认知功能的作用机制研究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于国强</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基于孙申田教授“经颅重复针刺法“探讨头针-脏腑配穴治疗高泌乳素血症的机制 </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张天婵</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基于TLR4/NLRPS信号通路对国医大师段富津效方加味通窍活血汤治疗缺血性卒中后认知功能障碍作用机制的研究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陈晨</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国医大师孙申田教授经颅重复针刺法治疗动脉硬化闭塞症的基础研究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王景</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基于段富津教授治疗动脉硬化类疾病的学术思想构建动脉硬化体病相关性体系的研究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周海纯</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基于TLR4/NF-κB信号通路探讨段富津学术思想之苍耳温胆汤调控过敏性鼻炎作用机制研究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黑龙江中医药大学附属第二医院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李志军</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国医大师孙申田教授“经颅重复针刺法”调控 p38 MAPK通路抑制EMs疼痛中枢敏化机制研究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黑龙江中医大学附属第二医院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杨东霞</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张琪教授以清心莲子饮湿热论治前列腺炎的实验研究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黑龙江省中医药科学院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孙一鸣</w:t>
            </w:r>
          </w:p>
        </w:tc>
      </w:tr>
      <w:tr>
        <w:tblPrEx>
          <w:shd w:val="clear" w:color="auto" w:fill="auto"/>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7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张琪教授以补气育阴化瘀法治疗糖尿病肾病的思路探究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黑龙江省中医药科学院</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郭力</w:t>
            </w:r>
          </w:p>
        </w:tc>
      </w:tr>
    </w:tbl>
    <w:p>
      <w:pPr>
        <w:rPr>
          <w:rFonts w:hint="default" w:ascii="仿宋" w:hAnsi="仿宋" w:eastAsia="仿宋" w:cs="仿宋"/>
          <w:sz w:val="32"/>
          <w:szCs w:val="32"/>
          <w:lang w:val="en-US" w:eastAsia="zh-CN"/>
        </w:rPr>
        <w:sectPr>
          <w:pgSz w:w="16838" w:h="11906" w:orient="landscape"/>
          <w:pgMar w:top="1800" w:right="1440" w:bottom="1800" w:left="144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D1A23"/>
    <w:rsid w:val="570D1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2022-08-25T08:20:00Z</dcterms:created>
  <dc:creator>张颖</dc:creator>
  <cp:lastModifiedBy>张颖</cp:lastModifiedBy>
  <dcterms:modified xsi:type="dcterms:W3CDTF">2022-08-25T08:20:17Z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