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附件2 </w:t>
      </w:r>
      <w:r>
        <w:rPr>
          <w:rFonts w:hint="eastAsia" w:ascii="仿宋" w:hAnsi="仿宋" w:eastAsia="仿宋" w:cs="仿宋"/>
          <w:sz w:val="32"/>
          <w:szCs w:val="32"/>
          <w:lang w:val="en-US" w:eastAsia="zh-CN"/>
        </w:rPr>
        <w:t xml:space="preserve">          </w:t>
      </w:r>
    </w:p>
    <w:p>
      <w:pPr>
        <w:ind w:firstLine="1600" w:firstLineChars="5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宋体" w:hAnsi="宋体" w:eastAsia="宋体" w:cs="宋体"/>
          <w:sz w:val="44"/>
          <w:szCs w:val="44"/>
          <w:lang w:val="en-US" w:eastAsia="zh-CN"/>
        </w:rPr>
        <w:t>国医大师学术思想传承科研课题项目名单</w:t>
      </w:r>
    </w:p>
    <w:tbl>
      <w:tblPr>
        <w:tblStyle w:val="3"/>
        <w:tblW w:w="13965" w:type="dxa"/>
        <w:tblInd w:w="0" w:type="dxa"/>
        <w:shd w:val="clear" w:color="auto" w:fill="auto"/>
        <w:tblLayout w:type="fixed"/>
        <w:tblCellMar>
          <w:top w:w="0" w:type="dxa"/>
          <w:left w:w="0" w:type="dxa"/>
          <w:bottom w:w="0" w:type="dxa"/>
          <w:right w:w="0" w:type="dxa"/>
        </w:tblCellMar>
      </w:tblPr>
      <w:tblGrid>
        <w:gridCol w:w="1395"/>
        <w:gridCol w:w="6870"/>
        <w:gridCol w:w="3825"/>
        <w:gridCol w:w="1875"/>
      </w:tblGrid>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6"/>
                <w:szCs w:val="26"/>
                <w:u w:val="none"/>
              </w:rPr>
            </w:pPr>
            <w:r>
              <w:rPr>
                <w:rFonts w:hint="eastAsia" w:ascii="宋体" w:hAnsi="宋体" w:eastAsia="宋体" w:cs="宋体"/>
                <w:b/>
                <w:i w:val="0"/>
                <w:color w:val="000000"/>
                <w:kern w:val="0"/>
                <w:sz w:val="26"/>
                <w:szCs w:val="26"/>
                <w:u w:val="none"/>
                <w:lang w:val="en-US" w:eastAsia="zh-CN" w:bidi="ar"/>
              </w:rPr>
              <w:t>课题名称</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Calibri" w:hAnsi="Calibri" w:eastAsia="宋体" w:cs="Calibri"/>
                <w:b/>
                <w:i w:val="0"/>
                <w:color w:val="000000"/>
                <w:sz w:val="26"/>
                <w:szCs w:val="26"/>
                <w:u w:val="none"/>
              </w:rPr>
            </w:pPr>
            <w:r>
              <w:rPr>
                <w:rFonts w:hint="default" w:ascii="Calibri" w:hAnsi="Calibri" w:eastAsia="宋体" w:cs="Calibri"/>
                <w:b/>
                <w:i w:val="0"/>
                <w:color w:val="000000"/>
                <w:kern w:val="0"/>
                <w:sz w:val="26"/>
                <w:szCs w:val="26"/>
                <w:u w:val="none"/>
                <w:lang w:val="en-US" w:eastAsia="zh-CN" w:bidi="ar"/>
              </w:rPr>
              <w:t>项目承担单位</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6"/>
                <w:szCs w:val="26"/>
                <w:u w:val="none"/>
              </w:rPr>
            </w:pPr>
            <w:r>
              <w:rPr>
                <w:rFonts w:hint="eastAsia" w:ascii="宋体" w:hAnsi="宋体" w:eastAsia="宋体" w:cs="宋体"/>
                <w:b/>
                <w:i w:val="0"/>
                <w:color w:val="000000"/>
                <w:kern w:val="0"/>
                <w:sz w:val="26"/>
                <w:szCs w:val="26"/>
                <w:u w:val="none"/>
                <w:lang w:val="en-US" w:eastAsia="zh-CN" w:bidi="ar"/>
              </w:rPr>
              <w:t>负责人</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GY2022-01</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基于国医大师段富津教授临证经验之三七龙血竭配伍治疗高脂血症药效学及机制研究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高彦宇</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GY2022-02</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国医大师段富津论治痹证的“气血枢纽”理论及相关病证方剂配伍研究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梁华</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GY2022-03</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国医大师段富津教授治疗泄泻学术思想及临证经验研究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毕珺辉</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GY2022-04</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国医大师段富津教授治疗结聚型病症的学术思想和临床经验总结</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殷越</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GY2022-05</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基于智慧中医技术传承国医大师段富津教授治疗恶性肿瘤的学术经验研究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黑龙江中医药大学附属第一医院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刘松江</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GY2022-06</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基于国医大师孙申田教授“神安病减”理论探讨电子捻针法对癫痫抑郁共病大鼠海马保护机制的研究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黑龙江中医药大学附属第一医院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刘征</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GY2022-07</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国医大师张琪应用清心莲子饮治疗糖皮质激素性骨质疏松症的机制研究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黑龙江中医药大学附属第一医院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王海</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GY2022-08</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国医大师孙申田循经远取动法结合头针治疗椎间盘源性坐骨神经痛的临床研究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孙远征</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GY2022-09</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基于孙申田教授学术思想探讨“透刺吞咽针法”对缺血性脑卒中后吞咽障碍相关参数影响的临床研究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李晓宁</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GY2022-10</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基于“孙申田教授调神针法”结合跑轮训练干预产后焦虑大鼠探讨母鼠焦虑状态对仔鼠认知能力的影响</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王艳</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GY2022-11</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基于fMRI的国医大师孙申田经颅重复针刺法改善上肢功能障碍效应机制研究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尹洪娜</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GY2022-12</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基于国医大师段富津教授补虚化瘀理论的解毒益心汤抑制蒽环类药物 心脏毒性的机制研究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陈会君</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GY2022-13</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基于段富津国医大师“治癖必疏肝”思想探究十味柴胡疏肝散对乳腺增生雌激素受体通路调节机制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黄克江</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GY2022-14</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国医大师孙申田“经颅针刺刺激疗法”改善脑小血管病认知功能障碍的临床研究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王玉琳</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GY2022-15</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基于数据挖掘的孙申田教授经颅重复针刺手法临床应用经验研究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师帅</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GY2022-16</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基于国医大师段富津教授的“补而散之”之法应用消疹固本煎治疗银屑病血虚风燥证的临床研究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刘拥军</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GY2022-17</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基于国医大师孙申田思想的“交叉电项针”治疗卒中相关性肺炎呼吸机依赖患者的临床疗效观察 </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蔡国锋</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GY2022-18</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基于国医大师卢芳伏邪理论祛湿法治疗下肢深静脉血栓形成的基础研究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郭伟光</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GY2022-19</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国医大师孙申田教授经颅重复针刺法改善缺血性脑卒中模型大鼠认知功能的作用机制研究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于国强</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GY2022-20</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基于孙申田教授“经颅重复针刺法“探讨头针-脏腑配穴治疗高泌乳素血症的机制 </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张天婵</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GY2022-21</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基于TLR4/NLRPS信号通路对国医大师段富津效方加味通窍活血汤治疗缺血性卒中后认知功能障碍作用机制的研究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陈晨</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GY2022-22</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国医大师孙申田教授经颅重复针刺法治疗动脉硬化闭塞症的基础研究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王景</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GY2022-23</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基于段富津教授治疗动脉硬化类疾病的学术思想构建动脉硬化体病相关性体系的研究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周海纯</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GY2022-24</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基于TLR4/NF-κB信号通路探讨段富津学术思想之苍耳温胆汤调控过敏性鼻炎作用机制研究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李志军</w:t>
            </w:r>
          </w:p>
        </w:tc>
      </w:tr>
      <w:tr>
        <w:tblPrEx>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GY2022-25</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国医大师孙申田教授“经颅重复针刺法”调控 p38 MAPK通路抑制EMs疼痛中枢敏化机制研究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杨东霞</w:t>
            </w:r>
          </w:p>
        </w:tc>
      </w:tr>
      <w:tr>
        <w:tblPrEx>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GY2022-26</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张琪教授以清心莲子饮湿热论治前列腺炎的实验研究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黑龙江省中医药科学院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孙一鸣</w:t>
            </w:r>
          </w:p>
        </w:tc>
      </w:tr>
      <w:tr>
        <w:tblPrEx>
          <w:shd w:val="clear" w:color="auto" w:fill="auto"/>
          <w:tblCellMar>
            <w:top w:w="0" w:type="dxa"/>
            <w:left w:w="0" w:type="dxa"/>
            <w:bottom w:w="0" w:type="dxa"/>
            <w:right w:w="0"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GY2022-27</w:t>
            </w:r>
          </w:p>
        </w:tc>
        <w:tc>
          <w:tcPr>
            <w:tcW w:w="6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张琪教授以补气育阴化瘀法治疗糖尿病肾病的思路探究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黑龙江省中医药科学院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郭力</w:t>
            </w:r>
          </w:p>
        </w:tc>
      </w:tr>
    </w:tbl>
    <w:p>
      <w:pPr>
        <w:rPr>
          <w:rFonts w:hint="default" w:ascii="仿宋" w:hAnsi="仿宋" w:eastAsia="仿宋" w:cs="仿宋"/>
          <w:sz w:val="32"/>
          <w:szCs w:val="32"/>
          <w:lang w:val="en-US" w:eastAsia="zh-CN"/>
        </w:rPr>
        <w:sectPr>
          <w:pgSz w:w="16838" w:h="11906" w:orient="landscape"/>
          <w:pgMar w:top="1800" w:right="1440" w:bottom="1800" w:left="1440" w:header="851" w:footer="992" w:gutter="0"/>
          <w:cols w:space="425" w:num="1"/>
          <w:docGrid w:type="lines" w:linePitch="312" w:charSpace="0"/>
        </w:sectPr>
      </w:pPr>
      <w:bookmarkStart w:id="0" w:name="_GoBack"/>
    </w:p>
    <w:bookmarkEnd w:id="0"/>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16278A2"/>
    <w:rsid w:val="3D9272D7"/>
    <w:rsid w:val="5F3F259F"/>
    <w:rsid w:val="5FD61488"/>
    <w:rsid w:val="71627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pPr>
      <w:jc w:val="center"/>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2022-09-01T01:54:00Z</dcterms:created>
  <dc:creator>克己复礼</dc:creator>
  <cp:lastModifiedBy>克己复礼</cp:lastModifiedBy>
  <dcterms:modified xsi:type="dcterms:W3CDTF">2022-09-01T01:54:44Z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9CEFF6FA39D446CA94928E3226BE1D5E</vt:lpwstr>
  </property>
</Properties>
</file>